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5A1C" w14:textId="77777777" w:rsidR="001C0B7E" w:rsidRPr="005A7AE2" w:rsidRDefault="001C0B7E" w:rsidP="003924B7">
      <w:pPr>
        <w:pStyle w:val="Prrafodelista"/>
        <w:shd w:val="clear" w:color="auto" w:fill="FFFFFF" w:themeFill="background1"/>
        <w:spacing w:before="120"/>
        <w:ind w:left="0"/>
        <w:jc w:val="center"/>
        <w:rPr>
          <w:rFonts w:ascii="Arial" w:hAnsi="Arial" w:cs="Arial"/>
          <w:b/>
          <w:sz w:val="22"/>
          <w:szCs w:val="22"/>
          <w:u w:val="single"/>
        </w:rPr>
      </w:pPr>
      <w:r w:rsidRPr="005A7AE2">
        <w:rPr>
          <w:rFonts w:ascii="Arial" w:hAnsi="Arial" w:cs="Arial"/>
          <w:b/>
          <w:sz w:val="22"/>
          <w:szCs w:val="22"/>
          <w:u w:val="single"/>
        </w:rPr>
        <w:t>A</w:t>
      </w:r>
      <w:r w:rsidR="00120D5C" w:rsidRPr="005A7AE2">
        <w:rPr>
          <w:rFonts w:ascii="Arial" w:hAnsi="Arial" w:cs="Arial"/>
          <w:b/>
          <w:sz w:val="22"/>
          <w:szCs w:val="22"/>
          <w:u w:val="single"/>
        </w:rPr>
        <w:t>NEXO</w:t>
      </w:r>
      <w:r w:rsidRPr="005A7AE2">
        <w:rPr>
          <w:rFonts w:ascii="Arial" w:hAnsi="Arial" w:cs="Arial"/>
          <w:b/>
          <w:sz w:val="22"/>
          <w:szCs w:val="22"/>
          <w:u w:val="single"/>
        </w:rPr>
        <w:t xml:space="preserve"> XII</w:t>
      </w:r>
      <w:r w:rsidR="00E440C8" w:rsidRPr="005A7AE2">
        <w:rPr>
          <w:rFonts w:ascii="Arial" w:hAnsi="Arial" w:cs="Arial"/>
          <w:b/>
          <w:sz w:val="22"/>
          <w:szCs w:val="22"/>
          <w:u w:val="single"/>
        </w:rPr>
        <w:t>I</w:t>
      </w:r>
    </w:p>
    <w:p w14:paraId="7FE6E0B3" w14:textId="77777777" w:rsidR="001C0B7E" w:rsidRPr="005A7AE2" w:rsidRDefault="001C0B7E" w:rsidP="003924B7">
      <w:pPr>
        <w:pStyle w:val="Prrafodelista"/>
        <w:shd w:val="clear" w:color="auto" w:fill="FFFFFF" w:themeFill="background1"/>
        <w:spacing w:before="120"/>
        <w:ind w:left="0"/>
        <w:jc w:val="center"/>
        <w:rPr>
          <w:rFonts w:ascii="Arial" w:hAnsi="Arial" w:cs="Arial"/>
          <w:b/>
          <w:sz w:val="22"/>
          <w:szCs w:val="22"/>
        </w:rPr>
      </w:pPr>
    </w:p>
    <w:p w14:paraId="57472F08" w14:textId="77777777" w:rsidR="001C0B7E" w:rsidRPr="005A7AE2" w:rsidRDefault="001C0B7E" w:rsidP="00120D5C">
      <w:pPr>
        <w:pStyle w:val="Prrafodelista"/>
        <w:pBdr>
          <w:top w:val="single" w:sz="4" w:space="1" w:color="auto"/>
          <w:left w:val="single" w:sz="4" w:space="4" w:color="auto"/>
          <w:bottom w:val="single" w:sz="4" w:space="1" w:color="auto"/>
          <w:right w:val="single" w:sz="4" w:space="4" w:color="auto"/>
        </w:pBdr>
        <w:shd w:val="clear" w:color="auto" w:fill="FFFFFF" w:themeFill="background1"/>
        <w:spacing w:before="120"/>
        <w:ind w:left="0"/>
        <w:jc w:val="center"/>
        <w:rPr>
          <w:rFonts w:ascii="Arial" w:hAnsi="Arial" w:cs="Arial"/>
          <w:b/>
          <w:sz w:val="22"/>
          <w:szCs w:val="22"/>
        </w:rPr>
      </w:pPr>
      <w:r w:rsidRPr="005A7AE2">
        <w:rPr>
          <w:rFonts w:ascii="Arial" w:hAnsi="Arial" w:cs="Arial"/>
          <w:b/>
          <w:sz w:val="22"/>
          <w:szCs w:val="22"/>
        </w:rPr>
        <w:t>P</w:t>
      </w:r>
      <w:r w:rsidR="00120D5C" w:rsidRPr="005A7AE2">
        <w:rPr>
          <w:rFonts w:ascii="Arial" w:hAnsi="Arial" w:cs="Arial"/>
          <w:b/>
          <w:sz w:val="22"/>
          <w:szCs w:val="22"/>
        </w:rPr>
        <w:t>ROTOCOLO DE LIBERACIÓN</w:t>
      </w:r>
    </w:p>
    <w:p w14:paraId="60E4376C" w14:textId="77777777" w:rsidR="005A7AE2" w:rsidRPr="005A7AE2" w:rsidRDefault="005A7AE2" w:rsidP="003924B7">
      <w:pPr>
        <w:pStyle w:val="Prrafodelista"/>
        <w:shd w:val="clear" w:color="auto" w:fill="FFFFFF" w:themeFill="background1"/>
        <w:spacing w:before="120"/>
        <w:ind w:left="0"/>
        <w:jc w:val="both"/>
        <w:rPr>
          <w:rFonts w:ascii="Arial" w:hAnsi="Arial" w:cs="Arial"/>
          <w:b/>
          <w:sz w:val="22"/>
          <w:szCs w:val="22"/>
        </w:rPr>
      </w:pPr>
    </w:p>
    <w:p w14:paraId="2E2F0B31" w14:textId="77777777" w:rsidR="005A7AE2" w:rsidRDefault="001C0B7E" w:rsidP="005A7AE2">
      <w:pPr>
        <w:pStyle w:val="Prrafodelista"/>
        <w:shd w:val="clear" w:color="auto" w:fill="FFFFFF" w:themeFill="background1"/>
        <w:ind w:left="-851"/>
        <w:jc w:val="both"/>
        <w:rPr>
          <w:rFonts w:ascii="Arial" w:hAnsi="Arial" w:cs="Arial"/>
          <w:sz w:val="22"/>
          <w:szCs w:val="22"/>
        </w:rPr>
      </w:pPr>
      <w:r w:rsidRPr="005A7AE2">
        <w:rPr>
          <w:rFonts w:ascii="Arial" w:hAnsi="Arial" w:cs="Arial"/>
          <w:sz w:val="22"/>
          <w:szCs w:val="22"/>
        </w:rPr>
        <w:t xml:space="preserve"> </w:t>
      </w:r>
      <w:r w:rsidR="005A7AE2">
        <w:rPr>
          <w:rFonts w:ascii="Arial" w:hAnsi="Arial" w:cs="Arial"/>
          <w:sz w:val="22"/>
          <w:szCs w:val="22"/>
        </w:rPr>
        <w:t xml:space="preserve"> </w:t>
      </w:r>
      <w:r w:rsidRPr="005A7AE2">
        <w:rPr>
          <w:rFonts w:ascii="Arial" w:hAnsi="Arial" w:cs="Arial"/>
          <w:sz w:val="22"/>
          <w:szCs w:val="22"/>
        </w:rPr>
        <w:t xml:space="preserve">Emisión de órdenes de liberación </w:t>
      </w:r>
    </w:p>
    <w:p w14:paraId="5DCD3249" w14:textId="77777777" w:rsidR="005A7AE2" w:rsidRPr="005A7AE2" w:rsidRDefault="005A7AE2" w:rsidP="005A7AE2">
      <w:pPr>
        <w:pStyle w:val="Prrafodelista"/>
        <w:shd w:val="clear" w:color="auto" w:fill="FFFFFF" w:themeFill="background1"/>
        <w:ind w:left="-709"/>
        <w:jc w:val="both"/>
        <w:rPr>
          <w:rFonts w:ascii="Arial" w:hAnsi="Arial" w:cs="Arial"/>
          <w:sz w:val="22"/>
          <w:szCs w:val="22"/>
        </w:rPr>
      </w:pPr>
      <w:r>
        <w:rPr>
          <w:rFonts w:ascii="Arial" w:hAnsi="Arial" w:cs="Arial"/>
        </w:rPr>
        <w:t xml:space="preserve">1. </w:t>
      </w:r>
      <w:r w:rsidR="001C0B7E" w:rsidRPr="005A7AE2">
        <w:rPr>
          <w:rFonts w:ascii="Arial" w:hAnsi="Arial" w:cs="Arial"/>
        </w:rPr>
        <w:t>Las órdenes de liberación antes de la introducción en jaulas serán emitidas:</w:t>
      </w:r>
    </w:p>
    <w:p w14:paraId="240F1268" w14:textId="7D5681A8" w:rsidR="005A7AE2" w:rsidRPr="005A7AE2" w:rsidRDefault="001C0B7E" w:rsidP="005A7AE2">
      <w:pPr>
        <w:pStyle w:val="Prrafodelista"/>
        <w:shd w:val="clear" w:color="auto" w:fill="FFFFFF" w:themeFill="background1"/>
        <w:ind w:left="-709"/>
        <w:jc w:val="both"/>
        <w:rPr>
          <w:rFonts w:ascii="Arial" w:hAnsi="Arial" w:cs="Arial"/>
          <w:sz w:val="22"/>
          <w:szCs w:val="22"/>
        </w:rPr>
      </w:pPr>
      <w:r w:rsidRPr="005A7AE2">
        <w:rPr>
          <w:rFonts w:ascii="Arial" w:hAnsi="Arial" w:cs="Arial"/>
          <w:sz w:val="22"/>
          <w:szCs w:val="22"/>
        </w:rPr>
        <w:t xml:space="preserve">a) por la autoridad competente del operador donante cuando, sobre la base de la notificación previa de transferencia, la autoridad competente del Estado </w:t>
      </w:r>
      <w:r w:rsidR="00425530">
        <w:rPr>
          <w:rFonts w:ascii="Arial" w:hAnsi="Arial" w:cs="Arial"/>
          <w:sz w:val="22"/>
          <w:szCs w:val="22"/>
        </w:rPr>
        <w:t>m</w:t>
      </w:r>
      <w:r w:rsidRPr="005A7AE2">
        <w:rPr>
          <w:rFonts w:ascii="Arial" w:hAnsi="Arial" w:cs="Arial"/>
          <w:sz w:val="22"/>
          <w:szCs w:val="22"/>
        </w:rPr>
        <w:t xml:space="preserve">iembro del operador donante deniegue la operación de transferencia </w:t>
      </w:r>
    </w:p>
    <w:p w14:paraId="7141EB3B" w14:textId="26BC3DB4" w:rsidR="005A7AE2" w:rsidRPr="005A7AE2" w:rsidRDefault="001C0B7E" w:rsidP="005A7AE2">
      <w:pPr>
        <w:pStyle w:val="Prrafodelista"/>
        <w:shd w:val="clear" w:color="auto" w:fill="FFFFFF" w:themeFill="background1"/>
        <w:ind w:left="-709"/>
        <w:jc w:val="both"/>
        <w:rPr>
          <w:rFonts w:ascii="Arial" w:hAnsi="Arial" w:cs="Arial"/>
          <w:sz w:val="22"/>
          <w:szCs w:val="22"/>
        </w:rPr>
      </w:pPr>
      <w:r w:rsidRPr="005A7AE2">
        <w:rPr>
          <w:rFonts w:ascii="Arial" w:hAnsi="Arial" w:cs="Arial"/>
          <w:sz w:val="22"/>
          <w:szCs w:val="22"/>
        </w:rPr>
        <w:t xml:space="preserve">b) por la autoridad competente del Estado </w:t>
      </w:r>
      <w:r w:rsidR="00425530">
        <w:rPr>
          <w:rFonts w:ascii="Arial" w:hAnsi="Arial" w:cs="Arial"/>
          <w:sz w:val="22"/>
          <w:szCs w:val="22"/>
        </w:rPr>
        <w:t>m</w:t>
      </w:r>
      <w:r w:rsidRPr="005A7AE2">
        <w:rPr>
          <w:rFonts w:ascii="Arial" w:hAnsi="Arial" w:cs="Arial"/>
          <w:sz w:val="22"/>
          <w:szCs w:val="22"/>
        </w:rPr>
        <w:t>iembro donde se encuentre ubicada la granja cuando, la autoridad competente de la granja no haya expedido la autorización de introducción en jaulas en el plazo de un mes a contar a partir de la solicitud de autorización de introducción en jaulas.</w:t>
      </w:r>
    </w:p>
    <w:p w14:paraId="08EA3345" w14:textId="77777777" w:rsidR="001C0B7E" w:rsidRPr="005A7AE2" w:rsidRDefault="001C0B7E" w:rsidP="005A7AE2">
      <w:pPr>
        <w:pStyle w:val="Prrafodelista"/>
        <w:shd w:val="clear" w:color="auto" w:fill="FFFFFF" w:themeFill="background1"/>
        <w:ind w:left="-709"/>
        <w:jc w:val="both"/>
        <w:rPr>
          <w:rFonts w:ascii="Arial" w:hAnsi="Arial" w:cs="Arial"/>
          <w:sz w:val="22"/>
          <w:szCs w:val="22"/>
        </w:rPr>
      </w:pPr>
      <w:r w:rsidRPr="005A7AE2">
        <w:rPr>
          <w:rFonts w:ascii="Arial" w:hAnsi="Arial" w:cs="Arial"/>
          <w:sz w:val="22"/>
          <w:szCs w:val="22"/>
        </w:rPr>
        <w:t xml:space="preserve">2. Las órdenes de liberación tras los enjaulamientos serán emitidas: </w:t>
      </w:r>
    </w:p>
    <w:p w14:paraId="1BBD82DC" w14:textId="1CA3F785"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a) por la autoridad competente del Estado </w:t>
      </w:r>
      <w:r w:rsidR="00425530">
        <w:rPr>
          <w:rFonts w:ascii="Arial" w:hAnsi="Arial" w:cs="Arial"/>
        </w:rPr>
        <w:t>m</w:t>
      </w:r>
      <w:r w:rsidRPr="005A7AE2">
        <w:rPr>
          <w:rFonts w:ascii="Arial" w:hAnsi="Arial" w:cs="Arial"/>
        </w:rPr>
        <w:t xml:space="preserve">iembro del pabellón o de la almadraba cuando, se establezca que el peso introducido en jaulas supera el de las capturas declaradas. La orden de liberación se notificará a la autoridad competente de la granja, que la transmitirá al operador de la granja en cuestión; o </w:t>
      </w:r>
    </w:p>
    <w:p w14:paraId="5051EC84"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b) por la autoridad competente de la granja cuando, después del sacrificio, los peces restantes no estén cubiertos por un </w:t>
      </w:r>
      <w:proofErr w:type="spellStart"/>
      <w:r w:rsidRPr="005A7AE2">
        <w:rPr>
          <w:rFonts w:ascii="Arial" w:hAnsi="Arial" w:cs="Arial"/>
        </w:rPr>
        <w:t>eBCD</w:t>
      </w:r>
      <w:proofErr w:type="spellEnd"/>
      <w:r w:rsidRPr="005A7AE2">
        <w:rPr>
          <w:rFonts w:ascii="Arial" w:hAnsi="Arial" w:cs="Arial"/>
        </w:rPr>
        <w:t xml:space="preserve">, o cuando en el marco de una evaluación de traspaso o en una transferencia de control se haya identificado un exceso de peces. </w:t>
      </w:r>
    </w:p>
    <w:p w14:paraId="71EB5F70"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Para los casos mencionados en la sección (a), el peso total del atún rojo que va a ser liberado se convertirá en un número correspondiente de ejemplares mediante la aplicación del peso medio resultante del análisis de las grabaciones de vídeo de cámaras estereoscópicas relacionadas con la operación de introducción en jaula pertinente, realizado por la autoridad competente de la granja.</w:t>
      </w:r>
    </w:p>
    <w:p w14:paraId="6DB94392" w14:textId="77777777" w:rsidR="001C0B7E" w:rsidRPr="005A7AE2" w:rsidRDefault="001C0B7E" w:rsidP="005A7AE2">
      <w:pPr>
        <w:shd w:val="clear" w:color="auto" w:fill="FFFFFF" w:themeFill="background1"/>
        <w:spacing w:after="0" w:line="240" w:lineRule="auto"/>
        <w:ind w:left="-709"/>
        <w:jc w:val="both"/>
        <w:rPr>
          <w:rFonts w:ascii="Arial" w:hAnsi="Arial" w:cs="Arial"/>
        </w:rPr>
      </w:pPr>
    </w:p>
    <w:p w14:paraId="776229DA"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Segregación de los peces antes de la operación de liberación</w:t>
      </w:r>
    </w:p>
    <w:p w14:paraId="0BEC8D1B" w14:textId="77777777" w:rsidR="001C0B7E"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3. Antes de la liberación desde una jaula de la granja, la autoridad competente de la granja se asegurará de que los peces que han de liberarse se segregan y se trasladan a una jaula de transporte vacía, y la transferencia de los peces a la jaula de transporte es objeto de seguimiento mediante una cámara de control en el agua, de conformidad con las normas mínimas establecidas en el Anexo </w:t>
      </w:r>
      <w:r w:rsidR="007C50FB" w:rsidRPr="005A7AE2">
        <w:rPr>
          <w:rFonts w:ascii="Arial" w:hAnsi="Arial" w:cs="Arial"/>
        </w:rPr>
        <w:t>XI</w:t>
      </w:r>
      <w:r w:rsidRPr="005A7AE2">
        <w:rPr>
          <w:rFonts w:ascii="Arial" w:hAnsi="Arial" w:cs="Arial"/>
        </w:rPr>
        <w:t>. El número de peces segregados para su liberación debe corresponder con la orden de liberación.</w:t>
      </w:r>
    </w:p>
    <w:p w14:paraId="0CEDF07F" w14:textId="77777777" w:rsidR="00FA32F8"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4. La segregación previa de los peces se llevará a cabo en presencia de un observador regional de ICCAT. </w:t>
      </w:r>
    </w:p>
    <w:p w14:paraId="1F2FE7A5" w14:textId="77777777" w:rsidR="005A7AE2" w:rsidRPr="005A7AE2" w:rsidRDefault="005A7AE2" w:rsidP="005A7AE2">
      <w:pPr>
        <w:shd w:val="clear" w:color="auto" w:fill="FFFFFF" w:themeFill="background1"/>
        <w:spacing w:after="0" w:line="240" w:lineRule="auto"/>
        <w:ind w:left="-709"/>
        <w:jc w:val="both"/>
        <w:rPr>
          <w:rFonts w:ascii="Arial" w:hAnsi="Arial" w:cs="Arial"/>
        </w:rPr>
      </w:pPr>
    </w:p>
    <w:p w14:paraId="0BD65E91" w14:textId="77777777" w:rsidR="00FA32F8" w:rsidRPr="005A7AE2"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Grabación de la operación de liberación mediante cámara de vídeo </w:t>
      </w:r>
    </w:p>
    <w:p w14:paraId="39F687F0" w14:textId="77777777" w:rsidR="00051D0A" w:rsidRDefault="001C0B7E" w:rsidP="005A7AE2">
      <w:pPr>
        <w:shd w:val="clear" w:color="auto" w:fill="FFFFFF" w:themeFill="background1"/>
        <w:spacing w:after="0" w:line="240" w:lineRule="auto"/>
        <w:ind w:left="-709"/>
        <w:jc w:val="both"/>
        <w:rPr>
          <w:rFonts w:ascii="Arial" w:hAnsi="Arial" w:cs="Arial"/>
        </w:rPr>
      </w:pPr>
      <w:r w:rsidRPr="005A7AE2">
        <w:rPr>
          <w:rFonts w:ascii="Arial" w:hAnsi="Arial" w:cs="Arial"/>
        </w:rPr>
        <w:t>5. La liberación de atún rojo en el mar desde las jaulas de transporte o desde las jaulas de la granja será grabada por una cámara de control. Todas las operaciones de liberación en el mar serán observadas por un observador regional de ICCAT.</w:t>
      </w:r>
    </w:p>
    <w:p w14:paraId="41C9E2EC" w14:textId="77777777" w:rsidR="005A7AE2" w:rsidRPr="005A7AE2" w:rsidRDefault="005A7AE2" w:rsidP="005A7AE2">
      <w:pPr>
        <w:shd w:val="clear" w:color="auto" w:fill="FFFFFF" w:themeFill="background1"/>
        <w:spacing w:after="0" w:line="240" w:lineRule="auto"/>
        <w:ind w:left="-709"/>
        <w:jc w:val="both"/>
        <w:rPr>
          <w:rFonts w:ascii="Arial" w:hAnsi="Arial" w:cs="Arial"/>
        </w:rPr>
      </w:pPr>
    </w:p>
    <w:p w14:paraId="79133E50"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Comunicación de información</w:t>
      </w:r>
    </w:p>
    <w:p w14:paraId="724A874F"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6. Para cada operación de liberación realizada, el donante o el operador de la granja responsable de la liberación deberá cumplimentar un informe de liberación, utilizando el modelo adjunto a este Anexo. </w:t>
      </w:r>
    </w:p>
    <w:p w14:paraId="3035D278" w14:textId="77777777" w:rsidR="00FA32F8"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7. El observador regional de ICCAT validará la información de la declaración de liberación. El donante o el operador de la granja presentará la declaración de liberación a sus autoridades en un plazo de 48 horas a partir del momento en que se produzca la operación de liberación, para su transmisión a la Secretaría de ICCAT. </w:t>
      </w:r>
    </w:p>
    <w:p w14:paraId="1BD8074F" w14:textId="77777777" w:rsidR="005A7AE2" w:rsidRPr="005A7AE2" w:rsidRDefault="005A7AE2" w:rsidP="005A7AE2">
      <w:pPr>
        <w:shd w:val="clear" w:color="auto" w:fill="FFFFFF" w:themeFill="background1"/>
        <w:spacing w:after="0" w:line="240" w:lineRule="auto"/>
        <w:ind w:left="-709"/>
        <w:jc w:val="both"/>
        <w:rPr>
          <w:rFonts w:ascii="Arial" w:hAnsi="Arial" w:cs="Arial"/>
        </w:rPr>
      </w:pPr>
    </w:p>
    <w:p w14:paraId="499D20A4"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Disposiciones generales</w:t>
      </w:r>
    </w:p>
    <w:p w14:paraId="2BF9FD3C"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 8. Las operaciones de liberación desde las redes de cerco, las almadrabas o las jaulas de transporte deben ejecutarse inmediatamente después de la recepción de la orden de liberación.</w:t>
      </w:r>
    </w:p>
    <w:p w14:paraId="3074AF7B" w14:textId="1483567C"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lastRenderedPageBreak/>
        <w:t xml:space="preserve"> 9. Las operaciones de liberación de las granjas deben ejecutarse en un plazo de tres meses a partir de la última operación de introducción en jaulas de los peces en cuestión y a una distancia mínima de 10 millas de la granja. Para liberaciones de menos de 5 t de atún rojo, l</w:t>
      </w:r>
      <w:r w:rsidR="007C50FB" w:rsidRPr="005A7AE2">
        <w:rPr>
          <w:rFonts w:ascii="Arial" w:hAnsi="Arial" w:cs="Arial"/>
        </w:rPr>
        <w:t xml:space="preserve">a autoridad competente del Estado </w:t>
      </w:r>
      <w:r w:rsidR="00425530">
        <w:rPr>
          <w:rFonts w:ascii="Arial" w:hAnsi="Arial" w:cs="Arial"/>
        </w:rPr>
        <w:t>m</w:t>
      </w:r>
      <w:r w:rsidR="007C50FB" w:rsidRPr="005A7AE2">
        <w:rPr>
          <w:rFonts w:ascii="Arial" w:hAnsi="Arial" w:cs="Arial"/>
        </w:rPr>
        <w:t>iembro</w:t>
      </w:r>
      <w:r w:rsidRPr="005A7AE2">
        <w:rPr>
          <w:rFonts w:ascii="Arial" w:hAnsi="Arial" w:cs="Arial"/>
        </w:rPr>
        <w:t xml:space="preserve"> de la granja podría establecer una distancia más corta, de como mínimo 5 millas, para la liberación. </w:t>
      </w:r>
    </w:p>
    <w:p w14:paraId="077CBC82" w14:textId="77777777"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10. El patrón del remolcador o el operador de la granja serán responsables de la supervivencia de los peces hasta que se haya realizado la operación de liberación. </w:t>
      </w:r>
    </w:p>
    <w:p w14:paraId="57586AE4" w14:textId="5AB2025F" w:rsidR="00FA32F8" w:rsidRPr="005A7AE2" w:rsidRDefault="00FA32F8" w:rsidP="005A7AE2">
      <w:pPr>
        <w:shd w:val="clear" w:color="auto" w:fill="FFFFFF" w:themeFill="background1"/>
        <w:spacing w:after="0" w:line="240" w:lineRule="auto"/>
        <w:ind w:left="-709"/>
        <w:jc w:val="both"/>
        <w:rPr>
          <w:rFonts w:ascii="Arial" w:hAnsi="Arial" w:cs="Arial"/>
        </w:rPr>
      </w:pPr>
      <w:r w:rsidRPr="005A7AE2">
        <w:rPr>
          <w:rFonts w:ascii="Arial" w:hAnsi="Arial" w:cs="Arial"/>
        </w:rPr>
        <w:t xml:space="preserve">11. La autoridad competente del Estado </w:t>
      </w:r>
      <w:r w:rsidR="00425530">
        <w:rPr>
          <w:rFonts w:ascii="Arial" w:hAnsi="Arial" w:cs="Arial"/>
        </w:rPr>
        <w:t>m</w:t>
      </w:r>
      <w:r w:rsidRPr="005A7AE2">
        <w:rPr>
          <w:rFonts w:ascii="Arial" w:hAnsi="Arial" w:cs="Arial"/>
        </w:rPr>
        <w:t>iembro donde se encuentra ubicada la granja podría implementar cualquier medida adicional que considere necesaria para garantizar que las operaciones de liberación se realizan en el momento y lugar más adecuados con el fin de aumentar la probabilidad de que los peces vuelvan al stock.</w:t>
      </w:r>
    </w:p>
    <w:p w14:paraId="76099859"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69268145"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053A267C"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22E32489" w14:textId="77777777" w:rsidR="00FA32F8" w:rsidRPr="005A7AE2" w:rsidRDefault="00FA32F8" w:rsidP="005A7AE2">
      <w:pPr>
        <w:shd w:val="clear" w:color="auto" w:fill="FFFFFF" w:themeFill="background1"/>
        <w:spacing w:after="0" w:line="240" w:lineRule="auto"/>
        <w:ind w:left="-709"/>
        <w:jc w:val="both"/>
        <w:rPr>
          <w:rFonts w:ascii="Arial" w:hAnsi="Arial" w:cs="Arial"/>
        </w:rPr>
      </w:pPr>
    </w:p>
    <w:p w14:paraId="7EFD6C2A" w14:textId="77777777" w:rsidR="003924B7" w:rsidRPr="005A7AE2" w:rsidRDefault="003924B7" w:rsidP="005A7AE2">
      <w:pPr>
        <w:shd w:val="clear" w:color="auto" w:fill="FFFFFF" w:themeFill="background1"/>
        <w:spacing w:before="120" w:after="0" w:line="240" w:lineRule="auto"/>
        <w:ind w:left="-709"/>
        <w:jc w:val="both"/>
        <w:rPr>
          <w:rFonts w:ascii="Arial" w:hAnsi="Arial" w:cs="Arial"/>
        </w:rPr>
      </w:pPr>
    </w:p>
    <w:p w14:paraId="5B2B83A3" w14:textId="77777777" w:rsidR="003924B7" w:rsidRPr="005A7AE2" w:rsidRDefault="003924B7" w:rsidP="005A7AE2">
      <w:pPr>
        <w:shd w:val="clear" w:color="auto" w:fill="FFFFFF" w:themeFill="background1"/>
        <w:spacing w:before="120" w:after="0" w:line="240" w:lineRule="auto"/>
        <w:ind w:left="-709"/>
        <w:jc w:val="both"/>
        <w:rPr>
          <w:rFonts w:ascii="Arial" w:hAnsi="Arial" w:cs="Arial"/>
        </w:rPr>
      </w:pPr>
    </w:p>
    <w:p w14:paraId="2F65F223" w14:textId="77777777" w:rsidR="003924B7" w:rsidRPr="005A7AE2" w:rsidRDefault="003924B7" w:rsidP="005A7AE2">
      <w:pPr>
        <w:shd w:val="clear" w:color="auto" w:fill="FFFFFF" w:themeFill="background1"/>
        <w:spacing w:before="120" w:after="0" w:line="240" w:lineRule="auto"/>
        <w:ind w:left="-709"/>
        <w:jc w:val="both"/>
        <w:rPr>
          <w:rFonts w:ascii="Arial" w:hAnsi="Arial" w:cs="Arial"/>
        </w:rPr>
      </w:pPr>
    </w:p>
    <w:p w14:paraId="7506EE18" w14:textId="77777777" w:rsidR="003924B7" w:rsidRPr="005A7AE2" w:rsidRDefault="003924B7" w:rsidP="003924B7">
      <w:pPr>
        <w:shd w:val="clear" w:color="auto" w:fill="FFFFFF" w:themeFill="background1"/>
        <w:spacing w:before="120" w:after="0" w:line="240" w:lineRule="auto"/>
        <w:jc w:val="both"/>
        <w:rPr>
          <w:rFonts w:ascii="Arial" w:hAnsi="Arial" w:cs="Arial"/>
        </w:rPr>
      </w:pPr>
    </w:p>
    <w:p w14:paraId="25E91691" w14:textId="77777777" w:rsidR="00FA32F8" w:rsidRPr="005A7AE2" w:rsidRDefault="00FA32F8" w:rsidP="003924B7">
      <w:pPr>
        <w:shd w:val="clear" w:color="auto" w:fill="FFFFFF" w:themeFill="background1"/>
        <w:spacing w:before="120" w:after="0" w:line="240" w:lineRule="auto"/>
        <w:jc w:val="both"/>
        <w:rPr>
          <w:rFonts w:ascii="Arial" w:hAnsi="Arial" w:cs="Arial"/>
        </w:rPr>
      </w:pPr>
    </w:p>
    <w:p w14:paraId="7A137849" w14:textId="77777777" w:rsidR="003924B7" w:rsidRPr="005A7AE2" w:rsidRDefault="003924B7">
      <w:pPr>
        <w:rPr>
          <w:rFonts w:ascii="Arial" w:hAnsi="Arial" w:cs="Arial"/>
        </w:rPr>
      </w:pPr>
      <w:r w:rsidRPr="005A7AE2">
        <w:rPr>
          <w:rFonts w:ascii="Arial" w:hAnsi="Arial" w:cs="Arial"/>
        </w:rPr>
        <w:br w:type="page"/>
      </w:r>
    </w:p>
    <w:tbl>
      <w:tblPr>
        <w:tblStyle w:val="Tablaconcuadrcula"/>
        <w:tblW w:w="0" w:type="auto"/>
        <w:tblLook w:val="04A0" w:firstRow="1" w:lastRow="0" w:firstColumn="1" w:lastColumn="0" w:noHBand="0" w:noVBand="1"/>
      </w:tblPr>
      <w:tblGrid>
        <w:gridCol w:w="4247"/>
        <w:gridCol w:w="4247"/>
      </w:tblGrid>
      <w:tr w:rsidR="008974C6" w:rsidRPr="005A7AE2" w14:paraId="737C9135" w14:textId="77777777" w:rsidTr="008974C6">
        <w:tc>
          <w:tcPr>
            <w:tcW w:w="4247" w:type="dxa"/>
          </w:tcPr>
          <w:p w14:paraId="57FA90E3" w14:textId="77777777" w:rsidR="008974C6" w:rsidRPr="005A7AE2" w:rsidRDefault="008974C6" w:rsidP="002D216D">
            <w:pPr>
              <w:rPr>
                <w:rFonts w:ascii="Arial" w:hAnsi="Arial" w:cs="Arial"/>
              </w:rPr>
            </w:pPr>
            <w:r w:rsidRPr="005A7AE2">
              <w:rPr>
                <w:rFonts w:ascii="Arial" w:hAnsi="Arial" w:cs="Arial"/>
              </w:rPr>
              <w:lastRenderedPageBreak/>
              <w:t>Informe ICCAT de liberación</w:t>
            </w:r>
          </w:p>
        </w:tc>
        <w:tc>
          <w:tcPr>
            <w:tcW w:w="4247" w:type="dxa"/>
          </w:tcPr>
          <w:p w14:paraId="429544C8" w14:textId="77777777" w:rsidR="007A5467" w:rsidRPr="005A7AE2" w:rsidRDefault="008974C6" w:rsidP="002D216D">
            <w:pPr>
              <w:rPr>
                <w:rFonts w:ascii="Arial" w:hAnsi="Arial" w:cs="Arial"/>
              </w:rPr>
            </w:pPr>
            <w:r w:rsidRPr="005A7AE2">
              <w:rPr>
                <w:rFonts w:ascii="Arial" w:hAnsi="Arial" w:cs="Arial"/>
              </w:rPr>
              <w:t>N.º de documento:</w:t>
            </w:r>
          </w:p>
        </w:tc>
      </w:tr>
      <w:tr w:rsidR="008974C6" w:rsidRPr="005A7AE2" w14:paraId="5EFC1007" w14:textId="77777777" w:rsidTr="00531FEB">
        <w:tc>
          <w:tcPr>
            <w:tcW w:w="8494" w:type="dxa"/>
            <w:gridSpan w:val="2"/>
          </w:tcPr>
          <w:p w14:paraId="0CDB9552" w14:textId="77777777" w:rsidR="008974C6" w:rsidRPr="005A7AE2" w:rsidRDefault="008974C6" w:rsidP="002D216D">
            <w:pPr>
              <w:jc w:val="both"/>
              <w:rPr>
                <w:rFonts w:ascii="Arial" w:hAnsi="Arial" w:cs="Arial"/>
              </w:rPr>
            </w:pPr>
            <w:r w:rsidRPr="005A7AE2">
              <w:rPr>
                <w:rFonts w:ascii="Arial" w:hAnsi="Arial" w:cs="Arial"/>
              </w:rPr>
              <w:t>1 - INFORMACIÓN DETALLADA SOBRE LA CAPTURA/ INTRODUCCIÓN EN JAULAS</w:t>
            </w:r>
          </w:p>
        </w:tc>
      </w:tr>
      <w:tr w:rsidR="008974C6" w:rsidRPr="005A7AE2" w14:paraId="47FBB98D" w14:textId="77777777" w:rsidTr="005C4BB4">
        <w:tc>
          <w:tcPr>
            <w:tcW w:w="8494" w:type="dxa"/>
            <w:gridSpan w:val="2"/>
          </w:tcPr>
          <w:p w14:paraId="06FFC0F3" w14:textId="77777777" w:rsidR="008974C6" w:rsidRPr="005A7AE2" w:rsidRDefault="008974C6" w:rsidP="002D216D">
            <w:pPr>
              <w:spacing w:after="360"/>
              <w:jc w:val="both"/>
              <w:rPr>
                <w:rFonts w:ascii="Arial" w:hAnsi="Arial" w:cs="Arial"/>
              </w:rPr>
            </w:pPr>
            <w:r w:rsidRPr="005A7AE2">
              <w:rPr>
                <w:rFonts w:ascii="Arial" w:hAnsi="Arial" w:cs="Arial"/>
              </w:rPr>
              <w:t xml:space="preserve">Granja/buque de captura/almadraba/remolcador que realiza la liberación: </w:t>
            </w:r>
          </w:p>
          <w:p w14:paraId="1C99ED0A" w14:textId="77777777" w:rsidR="008974C6" w:rsidRPr="005A7AE2" w:rsidRDefault="008974C6" w:rsidP="002D216D">
            <w:pPr>
              <w:spacing w:after="360"/>
              <w:jc w:val="both"/>
              <w:rPr>
                <w:rFonts w:ascii="Arial" w:hAnsi="Arial" w:cs="Arial"/>
              </w:rPr>
            </w:pPr>
            <w:r w:rsidRPr="005A7AE2">
              <w:rPr>
                <w:rFonts w:ascii="Arial" w:hAnsi="Arial" w:cs="Arial"/>
              </w:rPr>
              <w:t xml:space="preserve">N.º registro ICCAT: </w:t>
            </w:r>
          </w:p>
          <w:p w14:paraId="58276C67" w14:textId="77777777" w:rsidR="008974C6" w:rsidRPr="005A7AE2" w:rsidRDefault="008974C6" w:rsidP="002D216D">
            <w:pPr>
              <w:spacing w:after="360"/>
              <w:jc w:val="both"/>
              <w:rPr>
                <w:rFonts w:ascii="Arial" w:hAnsi="Arial" w:cs="Arial"/>
              </w:rPr>
            </w:pPr>
            <w:r w:rsidRPr="005A7AE2">
              <w:rPr>
                <w:rFonts w:ascii="Arial" w:hAnsi="Arial" w:cs="Arial"/>
              </w:rPr>
              <w:t xml:space="preserve">Referencia de la orden de liberación: </w:t>
            </w:r>
          </w:p>
          <w:p w14:paraId="7B76881A" w14:textId="77777777" w:rsidR="008974C6" w:rsidRPr="005A7AE2" w:rsidRDefault="008974C6" w:rsidP="002D216D">
            <w:pPr>
              <w:spacing w:after="360"/>
              <w:jc w:val="both"/>
              <w:rPr>
                <w:rFonts w:ascii="Arial" w:hAnsi="Arial" w:cs="Arial"/>
              </w:rPr>
            </w:pPr>
            <w:r w:rsidRPr="005A7AE2">
              <w:rPr>
                <w:rFonts w:ascii="Arial" w:hAnsi="Arial" w:cs="Arial"/>
              </w:rPr>
              <w:t>Buque(s) de captura/almadraba (1):</w:t>
            </w:r>
          </w:p>
          <w:p w14:paraId="0D5041BD" w14:textId="77777777" w:rsidR="008974C6" w:rsidRPr="005A7AE2" w:rsidRDefault="008974C6" w:rsidP="002D216D">
            <w:pPr>
              <w:spacing w:after="360"/>
              <w:jc w:val="both"/>
              <w:rPr>
                <w:rFonts w:ascii="Arial" w:hAnsi="Arial" w:cs="Arial"/>
              </w:rPr>
            </w:pPr>
            <w:r w:rsidRPr="005A7AE2">
              <w:rPr>
                <w:rFonts w:ascii="Arial" w:hAnsi="Arial" w:cs="Arial"/>
              </w:rPr>
              <w:t>Número de JFO: Número de autorización de introducción en jaula (1):</w:t>
            </w:r>
          </w:p>
          <w:p w14:paraId="5AF69F8A" w14:textId="77777777" w:rsidR="008974C6" w:rsidRPr="005A7AE2" w:rsidRDefault="008974C6" w:rsidP="002D216D">
            <w:pPr>
              <w:spacing w:after="360"/>
              <w:jc w:val="both"/>
              <w:rPr>
                <w:rFonts w:ascii="Arial" w:hAnsi="Arial" w:cs="Arial"/>
              </w:rPr>
            </w:pPr>
            <w:r w:rsidRPr="005A7AE2">
              <w:rPr>
                <w:rFonts w:ascii="Arial" w:hAnsi="Arial" w:cs="Arial"/>
              </w:rPr>
              <w:t>Número de la(s) jaula(s) de liberación:</w:t>
            </w:r>
          </w:p>
          <w:p w14:paraId="42534D98" w14:textId="77777777" w:rsidR="008974C6" w:rsidRPr="005A7AE2" w:rsidRDefault="008974C6" w:rsidP="002D216D">
            <w:pPr>
              <w:spacing w:after="360"/>
              <w:jc w:val="both"/>
              <w:rPr>
                <w:rFonts w:ascii="Arial" w:hAnsi="Arial" w:cs="Arial"/>
              </w:rPr>
            </w:pPr>
            <w:r w:rsidRPr="005A7AE2">
              <w:rPr>
                <w:rFonts w:ascii="Arial" w:hAnsi="Arial" w:cs="Arial"/>
              </w:rPr>
              <w:t xml:space="preserve">Referencia(s) del (de los) </w:t>
            </w:r>
            <w:proofErr w:type="spellStart"/>
            <w:r w:rsidRPr="005A7AE2">
              <w:rPr>
                <w:rFonts w:ascii="Arial" w:hAnsi="Arial" w:cs="Arial"/>
              </w:rPr>
              <w:t>eBCD</w:t>
            </w:r>
            <w:proofErr w:type="spellEnd"/>
            <w:r w:rsidRPr="005A7AE2">
              <w:rPr>
                <w:rFonts w:ascii="Arial" w:hAnsi="Arial" w:cs="Arial"/>
              </w:rPr>
              <w:t xml:space="preserve">(s): </w:t>
            </w:r>
          </w:p>
          <w:p w14:paraId="10D49F9B" w14:textId="77777777" w:rsidR="008974C6" w:rsidRPr="005A7AE2" w:rsidRDefault="008974C6" w:rsidP="002D216D">
            <w:pPr>
              <w:spacing w:after="360"/>
              <w:jc w:val="both"/>
              <w:rPr>
                <w:rFonts w:ascii="Arial" w:hAnsi="Arial" w:cs="Arial"/>
              </w:rPr>
            </w:pPr>
            <w:r w:rsidRPr="005A7AE2">
              <w:rPr>
                <w:rFonts w:ascii="Arial" w:hAnsi="Arial" w:cs="Arial"/>
              </w:rPr>
              <w:t>N.º de autorización de la liberación:</w:t>
            </w:r>
          </w:p>
        </w:tc>
      </w:tr>
      <w:tr w:rsidR="008974C6" w:rsidRPr="005A7AE2" w14:paraId="651C24E5" w14:textId="77777777" w:rsidTr="00216DB0">
        <w:tc>
          <w:tcPr>
            <w:tcW w:w="8494" w:type="dxa"/>
            <w:gridSpan w:val="2"/>
          </w:tcPr>
          <w:p w14:paraId="1F0A3190" w14:textId="77777777" w:rsidR="008974C6" w:rsidRPr="005A7AE2" w:rsidRDefault="008974C6" w:rsidP="002D216D">
            <w:pPr>
              <w:jc w:val="both"/>
              <w:rPr>
                <w:rFonts w:ascii="Arial" w:hAnsi="Arial" w:cs="Arial"/>
              </w:rPr>
            </w:pPr>
            <w:r w:rsidRPr="005A7AE2">
              <w:rPr>
                <w:rFonts w:ascii="Arial" w:hAnsi="Arial" w:cs="Arial"/>
              </w:rPr>
              <w:t>2 - INFORMACIÓN DETALLADA SOBRE LA OPERACIÓN DE LIBERACIÓN</w:t>
            </w:r>
          </w:p>
        </w:tc>
      </w:tr>
      <w:tr w:rsidR="008974C6" w:rsidRPr="005A7AE2" w14:paraId="2D942761" w14:textId="77777777" w:rsidTr="00F5633C">
        <w:tc>
          <w:tcPr>
            <w:tcW w:w="8494" w:type="dxa"/>
            <w:gridSpan w:val="2"/>
          </w:tcPr>
          <w:p w14:paraId="03C05F41" w14:textId="77777777" w:rsidR="008974C6" w:rsidRPr="005A7AE2" w:rsidRDefault="008974C6" w:rsidP="002D216D">
            <w:pPr>
              <w:spacing w:after="360"/>
              <w:jc w:val="both"/>
              <w:rPr>
                <w:rFonts w:ascii="Arial" w:hAnsi="Arial" w:cs="Arial"/>
              </w:rPr>
            </w:pPr>
            <w:r w:rsidRPr="005A7AE2">
              <w:rPr>
                <w:rFonts w:ascii="Arial" w:hAnsi="Arial" w:cs="Arial"/>
              </w:rPr>
              <w:t xml:space="preserve">Tipo de liberación (3): </w:t>
            </w:r>
          </w:p>
          <w:p w14:paraId="0612EFF9" w14:textId="77777777" w:rsidR="008974C6" w:rsidRPr="005A7AE2" w:rsidRDefault="008974C6" w:rsidP="002D216D">
            <w:pPr>
              <w:spacing w:after="360"/>
              <w:jc w:val="both"/>
              <w:rPr>
                <w:rFonts w:ascii="Arial" w:hAnsi="Arial" w:cs="Arial"/>
              </w:rPr>
            </w:pPr>
            <w:r w:rsidRPr="005A7AE2">
              <w:rPr>
                <w:rFonts w:ascii="Arial" w:hAnsi="Arial" w:cs="Arial"/>
              </w:rPr>
              <w:t>Fecha de la operación:</w:t>
            </w:r>
          </w:p>
          <w:p w14:paraId="1F8CCF24" w14:textId="77777777" w:rsidR="008974C6" w:rsidRPr="005A7AE2" w:rsidRDefault="008974C6" w:rsidP="002D216D">
            <w:pPr>
              <w:spacing w:after="360"/>
              <w:jc w:val="both"/>
              <w:rPr>
                <w:rFonts w:ascii="Arial" w:hAnsi="Arial" w:cs="Arial"/>
              </w:rPr>
            </w:pPr>
            <w:r w:rsidRPr="005A7AE2">
              <w:rPr>
                <w:rFonts w:ascii="Arial" w:hAnsi="Arial" w:cs="Arial"/>
              </w:rPr>
              <w:t xml:space="preserve">Nombre del remolcador: </w:t>
            </w:r>
          </w:p>
          <w:p w14:paraId="77F36DF1" w14:textId="77777777" w:rsidR="008974C6" w:rsidRPr="005A7AE2" w:rsidRDefault="008974C6" w:rsidP="002D216D">
            <w:pPr>
              <w:spacing w:after="360"/>
              <w:jc w:val="both"/>
              <w:rPr>
                <w:rFonts w:ascii="Arial" w:hAnsi="Arial" w:cs="Arial"/>
              </w:rPr>
            </w:pPr>
            <w:r w:rsidRPr="005A7AE2">
              <w:rPr>
                <w:rFonts w:ascii="Arial" w:hAnsi="Arial" w:cs="Arial"/>
              </w:rPr>
              <w:t xml:space="preserve">N.º registro ICCAT: </w:t>
            </w:r>
          </w:p>
          <w:p w14:paraId="50CDBCE6" w14:textId="77777777" w:rsidR="008974C6" w:rsidRPr="005A7AE2" w:rsidRDefault="008974C6" w:rsidP="002D216D">
            <w:pPr>
              <w:spacing w:after="360"/>
              <w:jc w:val="both"/>
              <w:rPr>
                <w:rFonts w:ascii="Arial" w:hAnsi="Arial" w:cs="Arial"/>
              </w:rPr>
            </w:pPr>
            <w:r w:rsidRPr="005A7AE2">
              <w:rPr>
                <w:rFonts w:ascii="Arial" w:hAnsi="Arial" w:cs="Arial"/>
              </w:rPr>
              <w:t>Pabellón:</w:t>
            </w:r>
          </w:p>
          <w:p w14:paraId="7FD49140" w14:textId="77777777" w:rsidR="008974C6" w:rsidRPr="005A7AE2" w:rsidRDefault="008974C6" w:rsidP="002D216D">
            <w:pPr>
              <w:spacing w:after="360"/>
              <w:jc w:val="both"/>
              <w:rPr>
                <w:rFonts w:ascii="Arial" w:hAnsi="Arial" w:cs="Arial"/>
              </w:rPr>
            </w:pPr>
            <w:r w:rsidRPr="005A7AE2">
              <w:rPr>
                <w:rFonts w:ascii="Arial" w:hAnsi="Arial" w:cs="Arial"/>
              </w:rPr>
              <w:t>Segregación de los peces antes de la operación de liberación:</w:t>
            </w:r>
          </w:p>
          <w:p w14:paraId="18D55251" w14:textId="77777777" w:rsidR="008974C6" w:rsidRPr="005A7AE2" w:rsidRDefault="008974C6" w:rsidP="002D216D">
            <w:pPr>
              <w:spacing w:after="360"/>
              <w:jc w:val="both"/>
              <w:rPr>
                <w:rFonts w:ascii="Arial" w:hAnsi="Arial" w:cs="Arial"/>
              </w:rPr>
            </w:pPr>
            <w:r w:rsidRPr="005A7AE2">
              <w:rPr>
                <w:rFonts w:ascii="Arial" w:hAnsi="Arial" w:cs="Arial"/>
              </w:rPr>
              <w:t xml:space="preserve">Número de la jaula de verificación: Número de la jaula de liberación: </w:t>
            </w:r>
          </w:p>
          <w:p w14:paraId="4AC3AFE3" w14:textId="77777777" w:rsidR="008974C6" w:rsidRPr="005A7AE2" w:rsidRDefault="008974C6" w:rsidP="002D216D">
            <w:pPr>
              <w:spacing w:after="360"/>
              <w:jc w:val="both"/>
              <w:rPr>
                <w:rFonts w:ascii="Arial" w:hAnsi="Arial" w:cs="Arial"/>
              </w:rPr>
            </w:pPr>
            <w:r w:rsidRPr="005A7AE2">
              <w:rPr>
                <w:rFonts w:ascii="Arial" w:hAnsi="Arial" w:cs="Arial"/>
              </w:rPr>
              <w:t>Número de ejemplares de BFT liberados: Peso del BFT liberado (kg):</w:t>
            </w:r>
          </w:p>
          <w:p w14:paraId="503F75B9" w14:textId="77777777" w:rsidR="007A5467" w:rsidRPr="005A7AE2" w:rsidRDefault="007A5467" w:rsidP="002D216D">
            <w:pPr>
              <w:jc w:val="both"/>
              <w:rPr>
                <w:rFonts w:ascii="Arial" w:hAnsi="Arial" w:cs="Arial"/>
              </w:rPr>
            </w:pPr>
          </w:p>
        </w:tc>
      </w:tr>
      <w:tr w:rsidR="008974C6" w:rsidRPr="005A7AE2" w14:paraId="7162C1F9" w14:textId="77777777" w:rsidTr="008974C6">
        <w:tc>
          <w:tcPr>
            <w:tcW w:w="4247" w:type="dxa"/>
          </w:tcPr>
          <w:p w14:paraId="27B780AB" w14:textId="77777777" w:rsidR="008974C6" w:rsidRPr="005A7AE2" w:rsidRDefault="008974C6" w:rsidP="002D216D">
            <w:pPr>
              <w:rPr>
                <w:rFonts w:ascii="Arial" w:hAnsi="Arial" w:cs="Arial"/>
              </w:rPr>
            </w:pPr>
            <w:r w:rsidRPr="005A7AE2">
              <w:rPr>
                <w:rFonts w:ascii="Arial" w:hAnsi="Arial" w:cs="Arial"/>
              </w:rPr>
              <w:t>Nombre del operador, fecha y firma (2):</w:t>
            </w:r>
          </w:p>
          <w:p w14:paraId="45CFDE16" w14:textId="77777777" w:rsidR="007A5467" w:rsidRPr="005A7AE2" w:rsidRDefault="007A5467" w:rsidP="002D216D">
            <w:pPr>
              <w:rPr>
                <w:rFonts w:ascii="Arial" w:hAnsi="Arial" w:cs="Arial"/>
              </w:rPr>
            </w:pPr>
          </w:p>
          <w:p w14:paraId="5287D426" w14:textId="77777777" w:rsidR="007A5467" w:rsidRPr="005A7AE2" w:rsidRDefault="007A5467" w:rsidP="002D216D">
            <w:pPr>
              <w:rPr>
                <w:rFonts w:ascii="Arial" w:hAnsi="Arial" w:cs="Arial"/>
              </w:rPr>
            </w:pPr>
          </w:p>
        </w:tc>
        <w:tc>
          <w:tcPr>
            <w:tcW w:w="4247" w:type="dxa"/>
          </w:tcPr>
          <w:p w14:paraId="3FE28DB2" w14:textId="77777777" w:rsidR="008974C6" w:rsidRPr="005A7AE2" w:rsidRDefault="008974C6" w:rsidP="002D216D">
            <w:pPr>
              <w:rPr>
                <w:rFonts w:ascii="Arial" w:hAnsi="Arial" w:cs="Arial"/>
              </w:rPr>
            </w:pPr>
            <w:r w:rsidRPr="005A7AE2">
              <w:rPr>
                <w:rFonts w:ascii="Arial" w:hAnsi="Arial" w:cs="Arial"/>
              </w:rPr>
              <w:t>Nombre del observador, n.º ICCAT, fecha y firma:</w:t>
            </w:r>
          </w:p>
        </w:tc>
      </w:tr>
    </w:tbl>
    <w:p w14:paraId="74B86544" w14:textId="77777777" w:rsidR="003924B7" w:rsidRPr="005A7AE2" w:rsidRDefault="008974C6" w:rsidP="005A7AE2">
      <w:pPr>
        <w:shd w:val="clear" w:color="auto" w:fill="FFFFFF" w:themeFill="background1"/>
        <w:spacing w:after="0" w:line="240" w:lineRule="auto"/>
        <w:jc w:val="both"/>
        <w:rPr>
          <w:rFonts w:ascii="Arial" w:hAnsi="Arial" w:cs="Arial"/>
        </w:rPr>
      </w:pPr>
      <w:r w:rsidRPr="005A7AE2">
        <w:rPr>
          <w:rFonts w:ascii="Arial" w:hAnsi="Arial" w:cs="Arial"/>
        </w:rPr>
        <w:t xml:space="preserve">(1) Solo para las liberaciones desde las granjas </w:t>
      </w:r>
    </w:p>
    <w:p w14:paraId="6111CCA0" w14:textId="77777777" w:rsidR="003924B7" w:rsidRPr="005A7AE2" w:rsidRDefault="008974C6" w:rsidP="005A7AE2">
      <w:pPr>
        <w:shd w:val="clear" w:color="auto" w:fill="FFFFFF" w:themeFill="background1"/>
        <w:spacing w:after="0" w:line="240" w:lineRule="auto"/>
        <w:jc w:val="both"/>
        <w:rPr>
          <w:rFonts w:ascii="Arial" w:hAnsi="Arial" w:cs="Arial"/>
        </w:rPr>
      </w:pPr>
      <w:r w:rsidRPr="005A7AE2">
        <w:rPr>
          <w:rFonts w:ascii="Arial" w:hAnsi="Arial" w:cs="Arial"/>
        </w:rPr>
        <w:t>(2) Firma del operador de la granja para las liberaciones desde granjas, o del patrón del buque pesquero para las liberaciones ordenadas a los buques de captura o a los remolcadores.</w:t>
      </w:r>
    </w:p>
    <w:p w14:paraId="02E3F7C3" w14:textId="77777777" w:rsidR="00FA32F8" w:rsidRPr="005A7AE2" w:rsidRDefault="008974C6" w:rsidP="005A7AE2">
      <w:pPr>
        <w:shd w:val="clear" w:color="auto" w:fill="FFFFFF" w:themeFill="background1"/>
        <w:spacing w:after="0" w:line="240" w:lineRule="auto"/>
        <w:jc w:val="both"/>
        <w:rPr>
          <w:rFonts w:ascii="Arial" w:hAnsi="Arial" w:cs="Arial"/>
        </w:rPr>
      </w:pPr>
      <w:r w:rsidRPr="005A7AE2">
        <w:rPr>
          <w:rFonts w:ascii="Arial" w:hAnsi="Arial" w:cs="Arial"/>
        </w:rPr>
        <w:t xml:space="preserve"> (3) Liberación después de la finalización de los informes de introducción en jaula (Anexo 9, párrafo 4</w:t>
      </w:r>
      <w:r w:rsidR="002D216D" w:rsidRPr="005A7AE2">
        <w:rPr>
          <w:rFonts w:ascii="Arial" w:hAnsi="Arial" w:cs="Arial"/>
        </w:rPr>
        <w:t xml:space="preserve"> de la Recomendación 21-08</w:t>
      </w:r>
      <w:r w:rsidRPr="005A7AE2">
        <w:rPr>
          <w:rFonts w:ascii="Arial" w:hAnsi="Arial" w:cs="Arial"/>
        </w:rPr>
        <w:t xml:space="preserve">); BFT restante después del sacrificio que no está cubierto por un </w:t>
      </w:r>
      <w:proofErr w:type="spellStart"/>
      <w:r w:rsidRPr="005A7AE2">
        <w:rPr>
          <w:rFonts w:ascii="Arial" w:hAnsi="Arial" w:cs="Arial"/>
        </w:rPr>
        <w:t>eBCD</w:t>
      </w:r>
      <w:proofErr w:type="spellEnd"/>
      <w:r w:rsidRPr="005A7AE2">
        <w:rPr>
          <w:rFonts w:ascii="Arial" w:hAnsi="Arial" w:cs="Arial"/>
        </w:rPr>
        <w:t>; exceso de BFT encontrado después de una transferencia de control o evaluación de traspaso.</w:t>
      </w:r>
    </w:p>
    <w:sectPr w:rsidR="00FA32F8" w:rsidRPr="005A7A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05B3E"/>
    <w:multiLevelType w:val="hybridMultilevel"/>
    <w:tmpl w:val="AD6A3AE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02744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F1E"/>
    <w:rsid w:val="00051D0A"/>
    <w:rsid w:val="000E2417"/>
    <w:rsid w:val="00120D5C"/>
    <w:rsid w:val="001C0B7E"/>
    <w:rsid w:val="002A137C"/>
    <w:rsid w:val="002D216D"/>
    <w:rsid w:val="003924B7"/>
    <w:rsid w:val="00425530"/>
    <w:rsid w:val="005A7AE2"/>
    <w:rsid w:val="00693915"/>
    <w:rsid w:val="007A5467"/>
    <w:rsid w:val="007C50FB"/>
    <w:rsid w:val="008974C6"/>
    <w:rsid w:val="009B139C"/>
    <w:rsid w:val="009E2F1E"/>
    <w:rsid w:val="00A725F7"/>
    <w:rsid w:val="00E440C8"/>
    <w:rsid w:val="00FA32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8F84"/>
  <w15:chartTrackingRefBased/>
  <w15:docId w15:val="{B7B6C32C-AE68-4241-AC2A-B4976AE9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C0B7E"/>
    <w:pPr>
      <w:spacing w:after="0" w:line="240" w:lineRule="auto"/>
      <w:ind w:left="720"/>
      <w:contextualSpacing/>
    </w:pPr>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39"/>
    <w:rsid w:val="0089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A7AE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A7AE2"/>
    <w:rPr>
      <w:rFonts w:ascii="Segoe UI" w:hAnsi="Segoe UI" w:cs="Segoe UI"/>
      <w:sz w:val="18"/>
      <w:szCs w:val="18"/>
    </w:rPr>
  </w:style>
  <w:style w:type="paragraph" w:styleId="Revisin">
    <w:name w:val="Revision"/>
    <w:hidden/>
    <w:uiPriority w:val="99"/>
    <w:semiHidden/>
    <w:rsid w:val="00425530"/>
    <w:pPr>
      <w:spacing w:after="0" w:line="240" w:lineRule="auto"/>
    </w:pPr>
  </w:style>
  <w:style w:type="character" w:styleId="Refdecomentario">
    <w:name w:val="annotation reference"/>
    <w:basedOn w:val="Fuentedeprrafopredeter"/>
    <w:uiPriority w:val="99"/>
    <w:semiHidden/>
    <w:unhideWhenUsed/>
    <w:rsid w:val="009B139C"/>
    <w:rPr>
      <w:sz w:val="16"/>
      <w:szCs w:val="16"/>
    </w:rPr>
  </w:style>
  <w:style w:type="paragraph" w:styleId="Textocomentario">
    <w:name w:val="annotation text"/>
    <w:basedOn w:val="Normal"/>
    <w:link w:val="TextocomentarioCar"/>
    <w:uiPriority w:val="99"/>
    <w:unhideWhenUsed/>
    <w:rsid w:val="009B139C"/>
    <w:pPr>
      <w:spacing w:line="240" w:lineRule="auto"/>
    </w:pPr>
    <w:rPr>
      <w:sz w:val="20"/>
      <w:szCs w:val="20"/>
    </w:rPr>
  </w:style>
  <w:style w:type="character" w:customStyle="1" w:styleId="TextocomentarioCar">
    <w:name w:val="Texto comentario Car"/>
    <w:basedOn w:val="Fuentedeprrafopredeter"/>
    <w:link w:val="Textocomentario"/>
    <w:uiPriority w:val="99"/>
    <w:rsid w:val="009B139C"/>
    <w:rPr>
      <w:sz w:val="20"/>
      <w:szCs w:val="20"/>
    </w:rPr>
  </w:style>
  <w:style w:type="paragraph" w:styleId="Asuntodelcomentario">
    <w:name w:val="annotation subject"/>
    <w:basedOn w:val="Textocomentario"/>
    <w:next w:val="Textocomentario"/>
    <w:link w:val="AsuntodelcomentarioCar"/>
    <w:uiPriority w:val="99"/>
    <w:semiHidden/>
    <w:unhideWhenUsed/>
    <w:rsid w:val="009B139C"/>
    <w:rPr>
      <w:b/>
      <w:bCs/>
    </w:rPr>
  </w:style>
  <w:style w:type="character" w:customStyle="1" w:styleId="AsuntodelcomentarioCar">
    <w:name w:val="Asunto del comentario Car"/>
    <w:basedOn w:val="TextocomentarioCar"/>
    <w:link w:val="Asuntodelcomentario"/>
    <w:uiPriority w:val="99"/>
    <w:semiHidden/>
    <w:rsid w:val="009B13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893</Words>
  <Characters>4913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Fernández Despiau, Estrella</dc:creator>
  <cp:keywords/>
  <dc:description/>
  <cp:lastModifiedBy>Herrador Benito, Ruth</cp:lastModifiedBy>
  <cp:revision>15</cp:revision>
  <dcterms:created xsi:type="dcterms:W3CDTF">2022-03-23T14:39:00Z</dcterms:created>
  <dcterms:modified xsi:type="dcterms:W3CDTF">2024-03-08T12:49:00Z</dcterms:modified>
</cp:coreProperties>
</file>